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D9" w:rsidRDefault="006672D9">
      <w:pPr>
        <w:widowControl w:val="0"/>
        <w:autoSpaceDE w:val="0"/>
        <w:autoSpaceDN w:val="0"/>
        <w:adjustRightInd w:val="0"/>
        <w:spacing w:after="0" w:line="240" w:lineRule="auto"/>
        <w:jc w:val="both"/>
        <w:outlineLvl w:val="0"/>
        <w:rPr>
          <w:rFonts w:ascii="Calibri" w:hAnsi="Calibri" w:cs="Calibri"/>
        </w:rPr>
      </w:pPr>
    </w:p>
    <w:p w:rsidR="006672D9" w:rsidRDefault="006672D9">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2011 года N 6-ФЗ</w:t>
      </w:r>
      <w:r>
        <w:rPr>
          <w:rFonts w:ascii="Calibri" w:hAnsi="Calibri" w:cs="Calibri"/>
        </w:rPr>
        <w:br/>
      </w:r>
    </w:p>
    <w:p w:rsidR="006672D9" w:rsidRDefault="006672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72D9" w:rsidRDefault="006672D9">
      <w:pPr>
        <w:widowControl w:val="0"/>
        <w:autoSpaceDE w:val="0"/>
        <w:autoSpaceDN w:val="0"/>
        <w:adjustRightInd w:val="0"/>
        <w:spacing w:after="0" w:line="240" w:lineRule="auto"/>
        <w:jc w:val="both"/>
        <w:rPr>
          <w:rFonts w:ascii="Calibri" w:hAnsi="Calibri" w:cs="Calibri"/>
        </w:rPr>
      </w:pPr>
    </w:p>
    <w:p w:rsidR="006672D9" w:rsidRDefault="00667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672D9" w:rsidRDefault="006672D9">
      <w:pPr>
        <w:widowControl w:val="0"/>
        <w:autoSpaceDE w:val="0"/>
        <w:autoSpaceDN w:val="0"/>
        <w:adjustRightInd w:val="0"/>
        <w:spacing w:after="0" w:line="240" w:lineRule="auto"/>
        <w:jc w:val="center"/>
        <w:rPr>
          <w:rFonts w:ascii="Calibri" w:hAnsi="Calibri" w:cs="Calibri"/>
          <w:b/>
          <w:bCs/>
        </w:rPr>
      </w:pPr>
    </w:p>
    <w:p w:rsidR="006672D9" w:rsidRDefault="00667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672D9" w:rsidRDefault="006672D9">
      <w:pPr>
        <w:widowControl w:val="0"/>
        <w:autoSpaceDE w:val="0"/>
        <w:autoSpaceDN w:val="0"/>
        <w:adjustRightInd w:val="0"/>
        <w:spacing w:after="0" w:line="240" w:lineRule="auto"/>
        <w:jc w:val="center"/>
        <w:rPr>
          <w:rFonts w:ascii="Calibri" w:hAnsi="Calibri" w:cs="Calibri"/>
          <w:b/>
          <w:bCs/>
        </w:rPr>
      </w:pPr>
    </w:p>
    <w:p w:rsidR="006672D9" w:rsidRDefault="00667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 И ДЕЯТЕЛЬНОСТИ</w:t>
      </w:r>
    </w:p>
    <w:p w:rsidR="006672D9" w:rsidRDefault="00667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КОНТРОЛЬНО-СЧЕТНЫХ ОРГАНОВ СУБЪЕКТОВ РОССИЙСКОЙ ФЕДЕРАЦИИ</w:t>
      </w:r>
    </w:p>
    <w:p w:rsidR="006672D9" w:rsidRDefault="006672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ОБРАЗОВАНИЙ</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672D9" w:rsidRDefault="006672D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672D9" w:rsidRDefault="006672D9">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2011 года</w:t>
      </w:r>
    </w:p>
    <w:p w:rsidR="006672D9" w:rsidRDefault="006672D9">
      <w:pPr>
        <w:widowControl w:val="0"/>
        <w:autoSpaceDE w:val="0"/>
        <w:autoSpaceDN w:val="0"/>
        <w:adjustRightInd w:val="0"/>
        <w:spacing w:after="0" w:line="240" w:lineRule="auto"/>
        <w:jc w:val="right"/>
        <w:rPr>
          <w:rFonts w:ascii="Calibri" w:hAnsi="Calibri" w:cs="Calibri"/>
        </w:rPr>
      </w:pPr>
    </w:p>
    <w:p w:rsidR="006672D9" w:rsidRDefault="006672D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672D9" w:rsidRDefault="006672D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672D9" w:rsidRDefault="006672D9">
      <w:pPr>
        <w:widowControl w:val="0"/>
        <w:autoSpaceDE w:val="0"/>
        <w:autoSpaceDN w:val="0"/>
        <w:adjustRightInd w:val="0"/>
        <w:spacing w:after="0" w:line="240" w:lineRule="auto"/>
        <w:jc w:val="right"/>
        <w:rPr>
          <w:rFonts w:ascii="Calibri" w:hAnsi="Calibri" w:cs="Calibri"/>
        </w:rPr>
      </w:pPr>
      <w:r>
        <w:rPr>
          <w:rFonts w:ascii="Calibri" w:hAnsi="Calibri" w:cs="Calibri"/>
        </w:rPr>
        <w:t>2 февраля 2011 года</w:t>
      </w:r>
    </w:p>
    <w:p w:rsidR="006672D9" w:rsidRDefault="006672D9">
      <w:pPr>
        <w:widowControl w:val="0"/>
        <w:autoSpaceDE w:val="0"/>
        <w:autoSpaceDN w:val="0"/>
        <w:adjustRightInd w:val="0"/>
        <w:spacing w:after="0" w:line="240" w:lineRule="auto"/>
        <w:jc w:val="center"/>
        <w:rPr>
          <w:rFonts w:ascii="Calibri" w:hAnsi="Calibri" w:cs="Calibri"/>
        </w:rPr>
      </w:pPr>
    </w:p>
    <w:p w:rsidR="006672D9" w:rsidRDefault="006672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02.07.2013 N 185-ФЗ)</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Цель настоящего Федерального закона</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Правовое регулирование организации и деятельности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Правовое регулирование организации и деятельности контрольно-счетных органов муниципальных образований основывается на </w:t>
      </w:r>
      <w:hyperlink r:id="rId9"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1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2" w:history="1">
        <w:r>
          <w:rPr>
            <w:rFonts w:ascii="Calibri" w:hAnsi="Calibri" w:cs="Calibri"/>
            <w:color w:val="0000FF"/>
          </w:rPr>
          <w:t>кодексу</w:t>
        </w:r>
      </w:hyperlink>
      <w:r>
        <w:rPr>
          <w:rFonts w:ascii="Calibri" w:hAnsi="Calibri" w:cs="Calibri"/>
        </w:rPr>
        <w:t xml:space="preserve"> Российской Федерации и настоящему Федеральному закону.</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Основы статуса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Контрольно-счетные органы обладают организационной и функциональной независимостью и осуществляют свою деятельность самостоятельно.</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Контрольно-счетный орган субъекта Российской Федерации обладает правами юридического лица.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Принципы деятельности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контрольно-счетных органов основывается на принципах законности, объективности, эффективности, независимости и гласности.</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Состав и структура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w:t>
      </w:r>
      <w:r>
        <w:rPr>
          <w:rFonts w:ascii="Calibri" w:hAnsi="Calibri" w:cs="Calibri"/>
        </w:rPr>
        <w:lastRenderedPageBreak/>
        <w:t>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Права, обязанности и ответственность работников контрольно-счетных органов определяются настоящим Федеральным законом, </w:t>
      </w:r>
      <w:hyperlink r:id="rId13" w:history="1">
        <w:r>
          <w:rPr>
            <w:rFonts w:ascii="Calibri" w:hAnsi="Calibri" w:cs="Calibri"/>
            <w:color w:val="0000FF"/>
          </w:rPr>
          <w:t>законодательством</w:t>
        </w:r>
      </w:hyperlink>
      <w:r>
        <w:rPr>
          <w:rFonts w:ascii="Calibri" w:hAnsi="Calibri" w:cs="Calibri"/>
        </w:rPr>
        <w:t xml:space="preserve"> о государственной гражданской службе, </w:t>
      </w:r>
      <w:hyperlink r:id="rId14" w:history="1">
        <w:r>
          <w:rPr>
            <w:rFonts w:ascii="Calibri" w:hAnsi="Calibri" w:cs="Calibri"/>
            <w:color w:val="0000FF"/>
          </w:rPr>
          <w:t>законодательством</w:t>
        </w:r>
      </w:hyperlink>
      <w:r>
        <w:rPr>
          <w:rFonts w:ascii="Calibri" w:hAnsi="Calibri" w:cs="Calibri"/>
        </w:rPr>
        <w:t xml:space="preserve"> о муниципальной службе, трудовым </w:t>
      </w:r>
      <w:hyperlink r:id="rId1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Порядок назначения на должность председателя, заместителя председателя и аудиторов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председателем законодательного (представительного) органа государственной власти </w:t>
      </w:r>
      <w:r>
        <w:rPr>
          <w:rFonts w:ascii="Calibri" w:hAnsi="Calibri" w:cs="Calibri"/>
        </w:rPr>
        <w:lastRenderedPageBreak/>
        <w:t>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председателем представительного органа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главой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Требования к кандидатурам на должности председателя, заместителя председателя и аудиторов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bookmarkStart w:id="0" w:name="Par87"/>
      <w:bookmarkEnd w:id="0"/>
      <w:r>
        <w:rPr>
          <w:rFonts w:ascii="Calibri" w:hAnsi="Calibri" w:cs="Calibri"/>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672D9" w:rsidRDefault="006672D9">
      <w:pPr>
        <w:widowControl w:val="0"/>
        <w:autoSpaceDE w:val="0"/>
        <w:autoSpaceDN w:val="0"/>
        <w:adjustRightInd w:val="0"/>
        <w:spacing w:after="0" w:line="240" w:lineRule="auto"/>
        <w:ind w:firstLine="540"/>
        <w:jc w:val="both"/>
        <w:rPr>
          <w:rFonts w:ascii="Calibri" w:hAnsi="Calibri" w:cs="Calibri"/>
        </w:rPr>
      </w:pPr>
      <w:bookmarkStart w:id="1" w:name="Par88"/>
      <w:bookmarkEnd w:id="1"/>
      <w:r>
        <w:rPr>
          <w:rFonts w:ascii="Calibri" w:hAnsi="Calibri" w:cs="Calibri"/>
        </w:rPr>
        <w:t xml:space="preserve">2. На должность председателя, заместителя председателя и аудиторов контрольно-счетного </w:t>
      </w:r>
      <w:r>
        <w:rPr>
          <w:rFonts w:ascii="Calibri" w:hAnsi="Calibri" w:cs="Calibri"/>
        </w:rPr>
        <w:lastRenderedPageBreak/>
        <w:t>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7" w:history="1">
        <w:r>
          <w:rPr>
            <w:rFonts w:ascii="Calibri" w:hAnsi="Calibri" w:cs="Calibri"/>
            <w:color w:val="0000FF"/>
          </w:rPr>
          <w:t>частях 1</w:t>
        </w:r>
      </w:hyperlink>
      <w:r>
        <w:rPr>
          <w:rFonts w:ascii="Calibri" w:hAnsi="Calibri" w:cs="Calibri"/>
        </w:rPr>
        <w:t xml:space="preserve"> и </w:t>
      </w:r>
      <w:hyperlink w:anchor="Par88" w:history="1">
        <w:r>
          <w:rPr>
            <w:rFonts w:ascii="Calibri" w:hAnsi="Calibri" w:cs="Calibri"/>
            <w:color w:val="0000FF"/>
          </w:rPr>
          <w:t>2</w:t>
        </w:r>
      </w:hyperlink>
      <w:r>
        <w:rPr>
          <w:rFonts w:ascii="Calibri" w:hAnsi="Calibri" w:cs="Calibri"/>
        </w:rPr>
        <w:t xml:space="preserve"> настоящей статьи, могут быть установлены дополнительные требования к образованию и опыту работы.</w:t>
      </w:r>
    </w:p>
    <w:p w:rsidR="006672D9" w:rsidRDefault="006672D9">
      <w:pPr>
        <w:widowControl w:val="0"/>
        <w:autoSpaceDE w:val="0"/>
        <w:autoSpaceDN w:val="0"/>
        <w:adjustRightInd w:val="0"/>
        <w:spacing w:after="0" w:line="240" w:lineRule="auto"/>
        <w:ind w:firstLine="540"/>
        <w:jc w:val="both"/>
        <w:rPr>
          <w:rFonts w:ascii="Calibri" w:hAnsi="Calibri" w:cs="Calibri"/>
        </w:rPr>
      </w:pPr>
      <w:bookmarkStart w:id="2" w:name="Par90"/>
      <w:bookmarkEnd w:id="2"/>
      <w:r>
        <w:rPr>
          <w:rFonts w:ascii="Calibri" w:hAnsi="Calibri" w:cs="Calibri"/>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у него неснятой или непогашенной судимости;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решением суда, вступившим в законную силу;</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и дети супругов)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bookmarkStart w:id="3" w:name="Par96"/>
      <w:bookmarkEnd w:id="3"/>
      <w:r>
        <w:rPr>
          <w:rFonts w:ascii="Calibri" w:hAnsi="Calibri" w:cs="Calibri"/>
        </w:rP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и дети супругов)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Гарантии статуса должностных лиц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контрольно-счетных органов подлежат государственной защите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обладают гарантиями профессиональной независимости.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вступления в законную силу обвинительного приговора суда в отношении его;</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вступившим в законную силу решением суда;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подачи письменного заявления об отставке;</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выявления обстоятельств, предусмотренных </w:t>
      </w:r>
      <w:hyperlink w:anchor="Par90" w:history="1">
        <w:r>
          <w:rPr>
            <w:rFonts w:ascii="Calibri" w:hAnsi="Calibri" w:cs="Calibri"/>
            <w:color w:val="0000FF"/>
          </w:rPr>
          <w:t>частями 4</w:t>
        </w:r>
      </w:hyperlink>
      <w:r>
        <w:rPr>
          <w:rFonts w:ascii="Calibri" w:hAnsi="Calibri" w:cs="Calibri"/>
        </w:rPr>
        <w:t xml:space="preserve"> - </w:t>
      </w:r>
      <w:hyperlink w:anchor="Par96" w:history="1">
        <w:r>
          <w:rPr>
            <w:rFonts w:ascii="Calibri" w:hAnsi="Calibri" w:cs="Calibri"/>
            <w:color w:val="0000FF"/>
          </w:rPr>
          <w:t>6 статьи 7</w:t>
        </w:r>
      </w:hyperlink>
      <w:r>
        <w:rPr>
          <w:rFonts w:ascii="Calibri" w:hAnsi="Calibri" w:cs="Calibri"/>
        </w:rPr>
        <w:t xml:space="preserve"> настоящего Федерального закона.</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Основные полномочия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осуществляет следующие основные полномочия: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бюджета субъекта Российской Федерации и бюджета территориального государственного внебюджетного фонда;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 за соблюдением установленного порядка управления и распоряжения </w:t>
      </w:r>
      <w:r>
        <w:rPr>
          <w:rFonts w:ascii="Calibri" w:hAnsi="Calibri" w:cs="Calibri"/>
        </w:rPr>
        <w:lastRenderedPageBreak/>
        <w:t>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субъекте Российской Федерации и подготовка предложений, направленных на его совершенствование;</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участие в пределах полномочий в мероприятиях, направленных на противодействие коррупции;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bookmarkStart w:id="4" w:name="Par130"/>
      <w:bookmarkEnd w:id="4"/>
      <w:r>
        <w:rPr>
          <w:rFonts w:ascii="Calibri" w:hAnsi="Calibri" w:cs="Calibri"/>
        </w:rPr>
        <w:t>2. Контрольно-счетный орган муниципального образования осуществляет следующие основные полномочия: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местного бюджета;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местного бюджета;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местного бюджета;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анализ бюджетного процесса в муниципальном образовании и подготовка предложений, направленных на его совершенствование;</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в пределах полномочий в мероприятиях, направленных на противодействие коррупции;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Контрольно-счетный орган муниципального района, помимо полномочий, предусмотренных </w:t>
      </w:r>
      <w:hyperlink w:anchor="Par130" w:history="1">
        <w:r>
          <w:rPr>
            <w:rFonts w:ascii="Calibri" w:hAnsi="Calibri" w:cs="Calibri"/>
            <w:color w:val="0000FF"/>
          </w:rPr>
          <w:t>частью 2</w:t>
        </w:r>
      </w:hyperlink>
      <w:r>
        <w:rPr>
          <w:rFonts w:ascii="Calibri" w:hAnsi="Calibri" w:cs="Calibri"/>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государственный и муниципальный финансовый контроль осуществляется контрольно-счетными органами: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Формы осуществления контрольно-счетными органами внешнего государственного и муниципального финансового контроля</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экспертно-аналитического мероприятия контрольно-счетным органом составляются отчет или заключение.</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Стандарты внешнего государственного и муниципального финансового контроля</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9"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Стандарты внешнего государственного и муниципального финансового контроля для </w:t>
      </w:r>
      <w:r>
        <w:rPr>
          <w:rFonts w:ascii="Calibri" w:hAnsi="Calibri" w:cs="Calibri"/>
        </w:rPr>
        <w:lastRenderedPageBreak/>
        <w:t>проведения контрольных и экспертно-аналитических мероприятий утверждаются контрольно-счетными органами: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0" w:history="1">
        <w:r>
          <w:rPr>
            <w:rFonts w:ascii="Calibri" w:hAnsi="Calibri" w:cs="Calibri"/>
            <w:color w:val="0000FF"/>
          </w:rPr>
          <w:t>общими требованиями</w:t>
        </w:r>
      </w:hyperlink>
      <w:r>
        <w:rPr>
          <w:rFonts w:ascii="Calibri" w:hAnsi="Calibri" w:cs="Calibri"/>
        </w:rPr>
        <w:t>, утвержденными Счетной палатой Российской Федерации и (или) контрольно-счетным органом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иных организаций - в соответствии с общими требованиями, установленными федеральным законом.</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Планирование деятельности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Контрольно-счетные органы осуществляют свою деятельность на основе планов, которые разрабатываются и утверждаются ими самостоятельно.</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Обязательность исполнения требований должностных лиц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Права, обязанности и ответственность должностных лиц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Должностные лица контрольно-счетных органов при осуществлении возложенных на них должностных полномочий имеют право:</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672D9" w:rsidRDefault="006672D9">
      <w:pPr>
        <w:widowControl w:val="0"/>
        <w:autoSpaceDE w:val="0"/>
        <w:autoSpaceDN w:val="0"/>
        <w:adjustRightInd w:val="0"/>
        <w:spacing w:after="0" w:line="240" w:lineRule="auto"/>
        <w:ind w:firstLine="540"/>
        <w:jc w:val="both"/>
        <w:rPr>
          <w:rFonts w:ascii="Calibri" w:hAnsi="Calibri" w:cs="Calibri"/>
        </w:rPr>
      </w:pPr>
      <w:bookmarkStart w:id="5" w:name="Par177"/>
      <w:bookmarkEnd w:id="5"/>
      <w:r>
        <w:rPr>
          <w:rFonts w:ascii="Calibri" w:hAnsi="Calibri" w:cs="Calibri"/>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знакомиться с технической документацией к электронным базам данных;</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составлять протоколы об административных правонарушениях, если такое право предусмотрено законодательством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7" w:history="1">
        <w:r>
          <w:rPr>
            <w:rFonts w:ascii="Calibri" w:hAnsi="Calibri" w:cs="Calibri"/>
            <w:color w:val="0000FF"/>
          </w:rPr>
          <w:t>пунктом 2 части 1</w:t>
        </w:r>
      </w:hyperlink>
      <w:r>
        <w:rPr>
          <w:rFonts w:ascii="Calibri" w:hAnsi="Calibri" w:cs="Calibri"/>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w:t>
      </w:r>
      <w:r>
        <w:rPr>
          <w:rFonts w:ascii="Calibri" w:hAnsi="Calibri" w:cs="Calibri"/>
        </w:rPr>
        <w:lastRenderedPageBreak/>
        <w:t>государственной и иной охраняемой законом тайны.</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Представление информации по запросам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bookmarkStart w:id="6" w:name="Par194"/>
      <w:bookmarkEnd w:id="6"/>
      <w:r>
        <w:rPr>
          <w:rFonts w:ascii="Calibri" w:hAnsi="Calibri" w:cs="Calibri"/>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направления контрольно-счетными органами запросов, указанных в </w:t>
      </w:r>
      <w:hyperlink w:anchor="Par194" w:history="1">
        <w:r>
          <w:rPr>
            <w:rFonts w:ascii="Calibri" w:hAnsi="Calibri" w:cs="Calibri"/>
            <w:color w:val="0000FF"/>
          </w:rPr>
          <w:t>части 1</w:t>
        </w:r>
      </w:hyperlink>
      <w:r>
        <w:rPr>
          <w:rFonts w:ascii="Calibri" w:hAnsi="Calibri" w:cs="Calibri"/>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или несвоевременное представление органами и организациями, указанными в </w:t>
      </w:r>
      <w:hyperlink w:anchor="Par194" w:history="1">
        <w:r>
          <w:rPr>
            <w:rFonts w:ascii="Calibri" w:hAnsi="Calibri" w:cs="Calibri"/>
            <w:color w:val="0000FF"/>
          </w:rPr>
          <w:t>части 1</w:t>
        </w:r>
      </w:hyperlink>
      <w:r>
        <w:rPr>
          <w:rFonts w:ascii="Calibri" w:hAnsi="Calibri" w:cs="Calibri"/>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Представления и предписания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w:t>
      </w:r>
      <w:r>
        <w:rPr>
          <w:rFonts w:ascii="Calibri" w:hAnsi="Calibri" w:cs="Calibri"/>
        </w:rPr>
        <w:lastRenderedPageBreak/>
        <w:t>счетного органа может быть предоставлено также аудиторам.</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контрольно-счетного органа должно быть исполнено в установленные в нем сроки.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Гарантии прав проверяемых органов и организаций</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Взаимодействие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Контрольно-счетные органы субъектов Российской Федерации вправе устанавливать и </w:t>
      </w:r>
      <w:r>
        <w:rPr>
          <w:rFonts w:ascii="Calibri" w:hAnsi="Calibri" w:cs="Calibri"/>
        </w:rPr>
        <w:lastRenderedPageBreak/>
        <w:t>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вправе:</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муниципальных образований организационную, правовую, информационную, методическую и иную помощь;</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6672D9" w:rsidRDefault="00667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02.07.2013 N 185-ФЗ)</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Счетная палата Российской Федерации вправе:</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организационную, правовую, информационную, методическую и иную помощь;</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6672D9" w:rsidRDefault="006672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185-ФЗ)</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Обеспечение доступа к информации о деятельности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Контрольно-счетные органы в целях обеспечения доступа к информации о своей деятельности размещают на своих официальных сайтах в информационно-</w:t>
      </w:r>
      <w:r>
        <w:rPr>
          <w:rFonts w:ascii="Calibri" w:hAnsi="Calibri" w:cs="Calibri"/>
        </w:rPr>
        <w:lastRenderedPageBreak/>
        <w:t>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Финансовое обеспечение деятельности контрольно-счетных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Вступление в силу настоящего Федерального закона</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октября 2011 года.</w:t>
      </w:r>
    </w:p>
    <w:p w:rsidR="006672D9" w:rsidRDefault="006672D9">
      <w:pPr>
        <w:widowControl w:val="0"/>
        <w:autoSpaceDE w:val="0"/>
        <w:autoSpaceDN w:val="0"/>
        <w:adjustRightInd w:val="0"/>
        <w:spacing w:after="0" w:line="240" w:lineRule="auto"/>
        <w:ind w:firstLine="540"/>
        <w:jc w:val="both"/>
        <w:rPr>
          <w:rFonts w:ascii="Calibri" w:hAnsi="Calibri" w:cs="Calibri"/>
        </w:rPr>
      </w:pPr>
    </w:p>
    <w:p w:rsidR="006672D9" w:rsidRDefault="006672D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672D9" w:rsidRDefault="006672D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72D9" w:rsidRDefault="006672D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672D9" w:rsidRDefault="006672D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672D9" w:rsidRDefault="006672D9">
      <w:pPr>
        <w:widowControl w:val="0"/>
        <w:autoSpaceDE w:val="0"/>
        <w:autoSpaceDN w:val="0"/>
        <w:adjustRightInd w:val="0"/>
        <w:spacing w:after="0" w:line="240" w:lineRule="auto"/>
        <w:rPr>
          <w:rFonts w:ascii="Calibri" w:hAnsi="Calibri" w:cs="Calibri"/>
        </w:rPr>
      </w:pPr>
      <w:r>
        <w:rPr>
          <w:rFonts w:ascii="Calibri" w:hAnsi="Calibri" w:cs="Calibri"/>
        </w:rPr>
        <w:t>7 февраля 2011 года</w:t>
      </w:r>
    </w:p>
    <w:p w:rsidR="006672D9" w:rsidRDefault="006672D9">
      <w:pPr>
        <w:widowControl w:val="0"/>
        <w:autoSpaceDE w:val="0"/>
        <w:autoSpaceDN w:val="0"/>
        <w:adjustRightInd w:val="0"/>
        <w:spacing w:after="0" w:line="240" w:lineRule="auto"/>
        <w:rPr>
          <w:rFonts w:ascii="Calibri" w:hAnsi="Calibri" w:cs="Calibri"/>
        </w:rPr>
      </w:pPr>
      <w:r>
        <w:rPr>
          <w:rFonts w:ascii="Calibri" w:hAnsi="Calibri" w:cs="Calibri"/>
        </w:rPr>
        <w:t>N 6-ФЗ</w:t>
      </w:r>
    </w:p>
    <w:p w:rsidR="006672D9" w:rsidRDefault="006672D9">
      <w:pPr>
        <w:widowControl w:val="0"/>
        <w:autoSpaceDE w:val="0"/>
        <w:autoSpaceDN w:val="0"/>
        <w:adjustRightInd w:val="0"/>
        <w:spacing w:after="0" w:line="240" w:lineRule="auto"/>
        <w:rPr>
          <w:rFonts w:ascii="Calibri" w:hAnsi="Calibri" w:cs="Calibri"/>
        </w:rPr>
      </w:pPr>
    </w:p>
    <w:p w:rsidR="006672D9" w:rsidRDefault="006672D9">
      <w:pPr>
        <w:widowControl w:val="0"/>
        <w:autoSpaceDE w:val="0"/>
        <w:autoSpaceDN w:val="0"/>
        <w:adjustRightInd w:val="0"/>
        <w:spacing w:after="0" w:line="240" w:lineRule="auto"/>
        <w:rPr>
          <w:rFonts w:ascii="Calibri" w:hAnsi="Calibri" w:cs="Calibri"/>
        </w:rPr>
      </w:pPr>
    </w:p>
    <w:p w:rsidR="006672D9" w:rsidRDefault="006672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58DA" w:rsidRDefault="00C058DA">
      <w:bookmarkStart w:id="7" w:name="_GoBack"/>
      <w:bookmarkEnd w:id="7"/>
    </w:p>
    <w:sectPr w:rsidR="00C058DA" w:rsidSect="009E5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D9"/>
    <w:rsid w:val="006672D9"/>
    <w:rsid w:val="00C0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198108C80E84137FD500B7E3EBB722D1E1FE2134A5818BD133E3758B61BA7752B8F64652FS8qDI" TargetMode="External"/><Relationship Id="rId13" Type="http://schemas.openxmlformats.org/officeDocument/2006/relationships/hyperlink" Target="consultantplus://offline/ref=A45198108C80E84137FD500B7E3EBB722D1F16E717455818BD133E3758B61BA7752B8F6663298E32S5q7I" TargetMode="External"/><Relationship Id="rId18" Type="http://schemas.openxmlformats.org/officeDocument/2006/relationships/hyperlink" Target="consultantplus://offline/ref=A45198108C80E84137FD500B7E3EBB722D1E1FE2134A5818BD133E3758B61BA7752B8F6663298D37S5qEI" TargetMode="External"/><Relationship Id="rId3" Type="http://schemas.openxmlformats.org/officeDocument/2006/relationships/settings" Target="settings.xml"/><Relationship Id="rId21" Type="http://schemas.openxmlformats.org/officeDocument/2006/relationships/hyperlink" Target="consultantplus://offline/ref=A45198108C80E84137FD500B7E3EBB722D1F17E3154B5818BD133E3758B61BA7752B8F6663288733S5q8I" TargetMode="External"/><Relationship Id="rId7" Type="http://schemas.openxmlformats.org/officeDocument/2006/relationships/hyperlink" Target="consultantplus://offline/ref=A45198108C80E84137FD500B7E3EBB722D1F17EE1B4E5818BD133E3758SBq6I" TargetMode="External"/><Relationship Id="rId12" Type="http://schemas.openxmlformats.org/officeDocument/2006/relationships/hyperlink" Target="consultantplus://offline/ref=A45198108C80E84137FD500B7E3EBB722D1E1FE2134A5818BD133E3758SBq6I" TargetMode="External"/><Relationship Id="rId17" Type="http://schemas.openxmlformats.org/officeDocument/2006/relationships/hyperlink" Target="consultantplus://offline/ref=A45198108C80E84137FD500B7E3EBB722D1E1FE2134A5818BD133E3758SBq6I" TargetMode="External"/><Relationship Id="rId2" Type="http://schemas.microsoft.com/office/2007/relationships/stylesWithEffects" Target="stylesWithEffects.xml"/><Relationship Id="rId16" Type="http://schemas.openxmlformats.org/officeDocument/2006/relationships/hyperlink" Target="consultantplus://offline/ref=A45198108C80E84137FD500B7E3EBB722D1816EE164D5818BD133E3758SBq6I" TargetMode="External"/><Relationship Id="rId20" Type="http://schemas.openxmlformats.org/officeDocument/2006/relationships/hyperlink" Target="consultantplus://offline/ref=A45198108C80E84137FD500B7E3EBB722D181BEE1B445818BD133E3758B61BA7752B8F6663298E30S5qCI" TargetMode="External"/><Relationship Id="rId1" Type="http://schemas.openxmlformats.org/officeDocument/2006/relationships/styles" Target="styles.xml"/><Relationship Id="rId6" Type="http://schemas.openxmlformats.org/officeDocument/2006/relationships/hyperlink" Target="consultantplus://offline/ref=A45198108C80E84137FD500B7E3EBB722E1318E3191B0F1AEC4630S3q2I" TargetMode="External"/><Relationship Id="rId11" Type="http://schemas.openxmlformats.org/officeDocument/2006/relationships/hyperlink" Target="consultantplus://offline/ref=A45198108C80E84137FD500B7E3EBB722D1E1FE2134A5818BD133E3758B61BA7752B8F64652FS8qDI" TargetMode="External"/><Relationship Id="rId24" Type="http://schemas.openxmlformats.org/officeDocument/2006/relationships/theme" Target="theme/theme1.xml"/><Relationship Id="rId5" Type="http://schemas.openxmlformats.org/officeDocument/2006/relationships/hyperlink" Target="consultantplus://offline/ref=A45198108C80E84137FD500B7E3EBB722D1F17E3154B5818BD133E3758B61BA7752B8F6663288733S5qBI" TargetMode="External"/><Relationship Id="rId15" Type="http://schemas.openxmlformats.org/officeDocument/2006/relationships/hyperlink" Target="consultantplus://offline/ref=A45198108C80E84137FD500B7E3EBB722D1F17E11B4D5818BD133E3758B61BA7752B8F6663S2qEI" TargetMode="External"/><Relationship Id="rId23" Type="http://schemas.openxmlformats.org/officeDocument/2006/relationships/fontTable" Target="fontTable.xml"/><Relationship Id="rId10" Type="http://schemas.openxmlformats.org/officeDocument/2006/relationships/hyperlink" Target="consultantplus://offline/ref=A45198108C80E84137FD500B7E3EBB722D1F17EE1A445818BD133E3758B61BA7752B8F6663298A39S5qAI" TargetMode="External"/><Relationship Id="rId19" Type="http://schemas.openxmlformats.org/officeDocument/2006/relationships/hyperlink" Target="consultantplus://offline/ref=A45198108C80E84137FD500B7E3EBB722E1318E3191B0F1AEC4630S3q2I" TargetMode="External"/><Relationship Id="rId4" Type="http://schemas.openxmlformats.org/officeDocument/2006/relationships/webSettings" Target="webSettings.xml"/><Relationship Id="rId9" Type="http://schemas.openxmlformats.org/officeDocument/2006/relationships/hyperlink" Target="consultantplus://offline/ref=A45198108C80E84137FD500B7E3EBB722E1318E3191B0F1AEC4630S3q2I" TargetMode="External"/><Relationship Id="rId14" Type="http://schemas.openxmlformats.org/officeDocument/2006/relationships/hyperlink" Target="consultantplus://offline/ref=A45198108C80E84137FD500B7E3EBB722D1F17E1154A5818BD133E3758B61BA7752B8F6663298E31S5q8I" TargetMode="External"/><Relationship Id="rId22" Type="http://schemas.openxmlformats.org/officeDocument/2006/relationships/hyperlink" Target="consultantplus://offline/ref=A45198108C80E84137FD500B7E3EBB722D1F17E3154B5818BD133E3758B61BA7752B8F6663288733S5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2013-09-30T08:42:00Z</dcterms:created>
  <dcterms:modified xsi:type="dcterms:W3CDTF">2013-09-30T08:42:00Z</dcterms:modified>
</cp:coreProperties>
</file>